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B" w:rsidRPr="00030EEB" w:rsidRDefault="00030EEB" w:rsidP="00030EEB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color w:val="362F2D"/>
          <w:kern w:val="0"/>
          <w:sz w:val="20"/>
          <w:szCs w:val="20"/>
        </w:rPr>
        <w:t>KT</w:t>
      </w:r>
      <w:r w:rsidRPr="00030EEB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030EEB" w:rsidRPr="00030EEB" w:rsidRDefault="00030EEB" w:rsidP="00030EEB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KT12</w:t>
      </w:r>
    </w:p>
    <w:p w:rsidR="00030EEB" w:rsidRPr="00030EEB" w:rsidRDefault="00B03FE4" w:rsidP="00030EEB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30EEB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030EEB" w:rsidRPr="00030EE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030EEB" w:rsidRPr="00030EEB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"http://www.szseapro.com/upfiles/201607/05/a255a0d173c81a00a.jpg" \o "</w:instrText>
      </w:r>
      <w:r w:rsidR="00030EEB" w:rsidRPr="00030EEB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030EEB" w:rsidRPr="00030EEB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030EEB" w:rsidRPr="00030EE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030EEB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030EEB" w:rsidRPr="00030EEB" w:rsidRDefault="00896420" w:rsidP="00030EEB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96420"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2190476" cy="3514286"/>
            <wp:effectExtent l="19050" t="0" r="274" b="0"/>
            <wp:docPr id="4" name="图片 1" descr="3`6`[U`VT_]F8(S1T@N{}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`6`[U`VT_]F8(S1T@N{}S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EEB" w:rsidRPr="00030EEB" w:rsidRDefault="00B03FE4" w:rsidP="00030EEB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030EEB" w:rsidRPr="00030EEB" w:rsidRDefault="00B03FE4" w:rsidP="00030EEB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030EEB" w:rsidRPr="00030EE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030EEB" w:rsidRPr="00030EE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030EEB" w:rsidRPr="00030EEB" w:rsidRDefault="00030EEB" w:rsidP="00030EE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030EEB" w:rsidRPr="00030EEB" w:rsidRDefault="00030EEB" w:rsidP="00030EE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t>◆型    号：KT 12 </w:t>
      </w: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◆类    型：12＂二分频全频音箱. </w:t>
      </w: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◆频率响应：65Hz-20KHz </w:t>
      </w: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◆承受功率：360W连续，1600W峰值 </w:t>
      </w: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◆推荐承受功率：600W @8Ω </w:t>
      </w: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◆尺    寸：580×364×390mm（H×W×D） </w:t>
      </w:r>
      <w:r w:rsidRPr="00030EEB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◆重    量：25Kg/只 </w:t>
      </w:r>
    </w:p>
    <w:p w:rsidR="00030EEB" w:rsidRPr="00030EEB" w:rsidRDefault="00030EEB" w:rsidP="00030EEB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030EEB" w:rsidRPr="00030EEB" w:rsidRDefault="00030EEB" w:rsidP="00030EEB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</w:pPr>
      <w:r w:rsidRPr="00030EEB">
        <w:rPr>
          <w:rFonts w:ascii="宋体" w:eastAsia="宋体" w:hAnsi="宋体" w:cs="Helvetica" w:hint="eastAsia"/>
          <w:b/>
          <w:bCs/>
          <w:color w:val="FF0000"/>
          <w:spacing w:val="17"/>
          <w:kern w:val="0"/>
          <w:sz w:val="23"/>
        </w:rPr>
        <w:t>应用范围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t>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★适用于18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  <w:vertAlign w:val="subscript"/>
        </w:rPr>
        <w:t>~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t>32m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  <w:vertAlign w:val="superscript"/>
        </w:rPr>
        <w:t>2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t>房间扩声或大房的补声</w:t>
      </w:r>
    </w:p>
    <w:p w:rsidR="00030EEB" w:rsidRPr="00030EEB" w:rsidRDefault="00030EEB" w:rsidP="00030EEB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  <w:t> </w:t>
      </w:r>
    </w:p>
    <w:p w:rsidR="00030EEB" w:rsidRPr="00030EEB" w:rsidRDefault="00030EEB" w:rsidP="00030EEB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</w:pPr>
      <w:r w:rsidRPr="00030EEB">
        <w:rPr>
          <w:rFonts w:ascii="宋体" w:eastAsia="宋体" w:hAnsi="宋体" w:cs="Helvetica" w:hint="eastAsia"/>
          <w:b/>
          <w:bCs/>
          <w:color w:val="FF0000"/>
          <w:spacing w:val="17"/>
          <w:kern w:val="0"/>
          <w:sz w:val="23"/>
        </w:rPr>
        <w:t>详细说明 </w:t>
      </w:r>
      <w:r w:rsidRPr="00030EEB">
        <w:rPr>
          <w:rFonts w:ascii="宋体" w:eastAsia="宋体" w:hAnsi="宋体" w:cs="Helvetica" w:hint="eastAsia"/>
          <w:b/>
          <w:bCs/>
          <w:color w:val="FF0000"/>
          <w:spacing w:val="17"/>
          <w:kern w:val="0"/>
          <w:sz w:val="23"/>
          <w:szCs w:val="23"/>
        </w:rPr>
        <w:br/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t>KTV房间内均匀的声音覆盖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采用了一系列新技术来解决小环境下扩声所遇到的一系列问题。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lastRenderedPageBreak/>
        <w:t>KT系列首先采用非对称号用技术让房间声音均匀覆盖，让演唱者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无论在哪个位置，都有一样的声音。</w:t>
      </w:r>
    </w:p>
    <w:p w:rsidR="00030EEB" w:rsidRPr="00030EEB" w:rsidRDefault="00030EEB" w:rsidP="00030EEB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</w:pPr>
      <w:r w:rsidRPr="00030EEB">
        <w:rPr>
          <w:rFonts w:ascii="宋体" w:eastAsia="宋体" w:hAnsi="宋体" w:cs="Helvetica" w:hint="eastAsia"/>
          <w:b/>
          <w:bCs/>
          <w:color w:val="FF0000"/>
          <w:spacing w:val="17"/>
          <w:kern w:val="0"/>
          <w:sz w:val="23"/>
        </w:rPr>
        <w:t>低音加强设计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t>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后倒相设计，利用房间的反射达到低音加强，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在不用超低音时也有完美的低音表现。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</w:r>
    </w:p>
    <w:p w:rsidR="00030EEB" w:rsidRPr="00030EEB" w:rsidRDefault="00030EEB" w:rsidP="00030EEB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</w:pPr>
      <w:r w:rsidRPr="00030EEB"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  <w:t> </w:t>
      </w:r>
    </w:p>
    <w:p w:rsidR="00030EEB" w:rsidRPr="00030EEB" w:rsidRDefault="00030EEB" w:rsidP="00030EEB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spacing w:val="17"/>
          <w:kern w:val="0"/>
          <w:sz w:val="20"/>
          <w:szCs w:val="20"/>
        </w:rPr>
      </w:pPr>
      <w:r w:rsidRPr="00030EEB">
        <w:rPr>
          <w:rFonts w:ascii="宋体" w:eastAsia="宋体" w:hAnsi="宋体" w:cs="Helvetica" w:hint="eastAsia"/>
          <w:b/>
          <w:bCs/>
          <w:color w:val="FF0000"/>
          <w:spacing w:val="17"/>
          <w:kern w:val="0"/>
          <w:sz w:val="23"/>
        </w:rPr>
        <w:t>规格参数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t>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型    号：KT 12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类    型：12＂二分频全频音箱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高音单元：1”喉嘴，1.4”音圈，非对称号角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低音单元：12＂单元，3.0＂音圈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频率响应：65Hz-20KHz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承受功率：400W连续，1600W峰值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推荐承受功率：600W @8Ω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灵 敏 度：100dB/w/m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最大长期声压级：121B; 最大峰值声压级：132dB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覆盖角度（HxV）：60°x 40°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尺    寸(HxWxD)：580x364x390mm </w:t>
      </w:r>
      <w:r w:rsidRPr="00030EEB">
        <w:rPr>
          <w:rFonts w:ascii="宋体" w:eastAsia="宋体" w:hAnsi="宋体" w:cs="Helvetica" w:hint="eastAsia"/>
          <w:color w:val="000000"/>
          <w:spacing w:val="17"/>
          <w:kern w:val="0"/>
          <w:sz w:val="23"/>
          <w:szCs w:val="23"/>
        </w:rPr>
        <w:br/>
        <w:t>重     量：25Kg/只 </w:t>
      </w:r>
    </w:p>
    <w:p w:rsidR="00262B98" w:rsidRPr="00030EEB" w:rsidRDefault="00262B98"/>
    <w:sectPr w:rsidR="00262B98" w:rsidRPr="00030EEB" w:rsidSect="00B0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F9" w:rsidRDefault="00BB66F9" w:rsidP="00030EEB">
      <w:r>
        <w:separator/>
      </w:r>
    </w:p>
  </w:endnote>
  <w:endnote w:type="continuationSeparator" w:id="1">
    <w:p w:rsidR="00BB66F9" w:rsidRDefault="00BB66F9" w:rsidP="0003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F9" w:rsidRDefault="00BB66F9" w:rsidP="00030EEB">
      <w:r>
        <w:separator/>
      </w:r>
    </w:p>
  </w:footnote>
  <w:footnote w:type="continuationSeparator" w:id="1">
    <w:p w:rsidR="00BB66F9" w:rsidRDefault="00BB66F9" w:rsidP="00030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EEB"/>
    <w:rsid w:val="00030EEB"/>
    <w:rsid w:val="00262B98"/>
    <w:rsid w:val="00896420"/>
    <w:rsid w:val="00B03FE4"/>
    <w:rsid w:val="00BB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E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30EE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30EE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E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EE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30EE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30EE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030EEB"/>
  </w:style>
  <w:style w:type="character" w:styleId="a5">
    <w:name w:val="Hyperlink"/>
    <w:basedOn w:val="a0"/>
    <w:uiPriority w:val="99"/>
    <w:semiHidden/>
    <w:unhideWhenUsed/>
    <w:rsid w:val="00030EE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30E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0EE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30EE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30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7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2016-11-21T03:55:00Z</dcterms:created>
  <dcterms:modified xsi:type="dcterms:W3CDTF">2016-11-21T04:37:00Z</dcterms:modified>
</cp:coreProperties>
</file>